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0BE" w:rsidRPr="00F2537A" w:rsidRDefault="000210BE" w:rsidP="000210BE">
      <w:pPr>
        <w:shd w:val="clear" w:color="auto" w:fill="E6F0FA"/>
        <w:spacing w:line="240" w:lineRule="auto"/>
        <w:ind w:right="26"/>
        <w:jc w:val="center"/>
        <w:outlineLvl w:val="0"/>
        <w:rPr>
          <w:rFonts w:cstheme="minorHAnsi"/>
          <w:b/>
          <w:sz w:val="28"/>
          <w:szCs w:val="28"/>
        </w:rPr>
      </w:pPr>
      <w:r w:rsidRPr="00F2537A">
        <w:rPr>
          <w:rFonts w:cstheme="minorHAnsi"/>
          <w:b/>
          <w:sz w:val="28"/>
          <w:szCs w:val="28"/>
        </w:rPr>
        <w:t xml:space="preserve">Final </w:t>
      </w:r>
      <w:proofErr w:type="spellStart"/>
      <w:r w:rsidRPr="00F2537A">
        <w:rPr>
          <w:rFonts w:cstheme="minorHAnsi"/>
          <w:b/>
          <w:sz w:val="28"/>
          <w:szCs w:val="28"/>
        </w:rPr>
        <w:t>internal</w:t>
      </w:r>
      <w:proofErr w:type="spellEnd"/>
      <w:r w:rsidRPr="00F2537A">
        <w:rPr>
          <w:rFonts w:cstheme="minorHAnsi"/>
          <w:b/>
          <w:sz w:val="28"/>
          <w:szCs w:val="28"/>
        </w:rPr>
        <w:t xml:space="preserve"> </w:t>
      </w:r>
      <w:proofErr w:type="spellStart"/>
      <w:r w:rsidRPr="00F2537A">
        <w:rPr>
          <w:rFonts w:cstheme="minorHAnsi"/>
          <w:b/>
          <w:sz w:val="28"/>
          <w:szCs w:val="28"/>
        </w:rPr>
        <w:t>evaluation</w:t>
      </w:r>
      <w:proofErr w:type="spellEnd"/>
      <w:r w:rsidRPr="00F2537A">
        <w:rPr>
          <w:rFonts w:cstheme="minorHAnsi"/>
          <w:b/>
          <w:sz w:val="28"/>
          <w:szCs w:val="28"/>
        </w:rPr>
        <w:t xml:space="preserve"> of the “</w:t>
      </w:r>
      <w:proofErr w:type="spellStart"/>
      <w:r w:rsidRPr="00F2537A">
        <w:rPr>
          <w:rFonts w:cstheme="minorHAnsi"/>
          <w:b/>
          <w:sz w:val="28"/>
          <w:szCs w:val="28"/>
        </w:rPr>
        <w:t>Tajik</w:t>
      </w:r>
      <w:proofErr w:type="spellEnd"/>
      <w:r w:rsidRPr="00F2537A">
        <w:rPr>
          <w:rFonts w:cstheme="minorHAnsi"/>
          <w:b/>
          <w:sz w:val="28"/>
          <w:szCs w:val="28"/>
        </w:rPr>
        <w:t xml:space="preserve">-Afghan </w:t>
      </w:r>
      <w:proofErr w:type="spellStart"/>
      <w:r w:rsidRPr="00F2537A">
        <w:rPr>
          <w:rFonts w:cstheme="minorHAnsi"/>
          <w:b/>
          <w:sz w:val="28"/>
          <w:szCs w:val="28"/>
        </w:rPr>
        <w:t>Integration</w:t>
      </w:r>
      <w:proofErr w:type="spellEnd"/>
      <w:r w:rsidRPr="00F2537A">
        <w:rPr>
          <w:rFonts w:cstheme="minorHAnsi"/>
          <w:b/>
          <w:sz w:val="28"/>
          <w:szCs w:val="28"/>
        </w:rPr>
        <w:t xml:space="preserve">, </w:t>
      </w:r>
      <w:proofErr w:type="spellStart"/>
      <w:r w:rsidRPr="00F2537A">
        <w:rPr>
          <w:rFonts w:cstheme="minorHAnsi"/>
          <w:b/>
          <w:sz w:val="28"/>
          <w:szCs w:val="28"/>
        </w:rPr>
        <w:t>Resilience</w:t>
      </w:r>
      <w:proofErr w:type="spellEnd"/>
      <w:r w:rsidRPr="00F2537A">
        <w:rPr>
          <w:rFonts w:cstheme="minorHAnsi"/>
          <w:b/>
          <w:sz w:val="28"/>
          <w:szCs w:val="28"/>
        </w:rPr>
        <w:t xml:space="preserve"> and Reform Building Programme” (TAIRR Programme)</w:t>
      </w:r>
    </w:p>
    <w:p w:rsidR="000210BE" w:rsidRDefault="000210BE">
      <w:pPr>
        <w:rPr>
          <w:b/>
          <w:bCs/>
          <w:lang w:val="en-US"/>
        </w:rPr>
      </w:pPr>
    </w:p>
    <w:p w:rsidR="00DC36C3" w:rsidRDefault="000210BE" w:rsidP="00E50D07">
      <w:pPr>
        <w:jc w:val="center"/>
        <w:rPr>
          <w:b/>
          <w:bCs/>
          <w:sz w:val="28"/>
          <w:szCs w:val="28"/>
          <w:lang w:val="en-US"/>
        </w:rPr>
      </w:pPr>
      <w:r w:rsidRPr="00E50D07">
        <w:rPr>
          <w:b/>
          <w:bCs/>
          <w:sz w:val="28"/>
          <w:szCs w:val="28"/>
          <w:lang w:val="en-US"/>
        </w:rPr>
        <w:t xml:space="preserve">Annex </w:t>
      </w:r>
      <w:r w:rsidR="00E726F5">
        <w:rPr>
          <w:b/>
          <w:bCs/>
          <w:sz w:val="28"/>
          <w:szCs w:val="28"/>
          <w:lang w:val="en-US"/>
        </w:rPr>
        <w:t>5</w:t>
      </w:r>
      <w:r w:rsidR="00E50D07" w:rsidRPr="00E50D07">
        <w:rPr>
          <w:b/>
          <w:bCs/>
          <w:sz w:val="28"/>
          <w:szCs w:val="28"/>
          <w:lang w:val="en-US"/>
        </w:rPr>
        <w:t xml:space="preserve">: </w:t>
      </w:r>
      <w:r w:rsidR="00E726F5">
        <w:rPr>
          <w:b/>
          <w:bCs/>
          <w:sz w:val="28"/>
          <w:szCs w:val="28"/>
          <w:lang w:val="en-US"/>
        </w:rPr>
        <w:t>Documents Reviewed</w:t>
      </w:r>
    </w:p>
    <w:p w:rsidR="00E50D07" w:rsidRPr="00E50D07" w:rsidRDefault="00E50D07" w:rsidP="00E50D07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1235"/>
        <w:gridCol w:w="1050"/>
        <w:gridCol w:w="7525"/>
      </w:tblGrid>
      <w:tr w:rsidR="007F0C5E" w:rsidRPr="007C3A0A" w:rsidTr="007F0C5E">
        <w:tc>
          <w:tcPr>
            <w:tcW w:w="2285" w:type="dxa"/>
            <w:gridSpan w:val="2"/>
            <w:shd w:val="clear" w:color="auto" w:fill="44546A" w:themeFill="text2"/>
          </w:tcPr>
          <w:p w:rsidR="007F0C5E" w:rsidRPr="007C3A0A" w:rsidRDefault="007F0C5E" w:rsidP="009E7DAA">
            <w:pPr>
              <w:pStyle w:val="NoSpacing"/>
              <w:ind w:right="-72"/>
              <w:rPr>
                <w:color w:val="FFFFFF" w:themeColor="background1"/>
                <w:sz w:val="21"/>
                <w:szCs w:val="21"/>
              </w:rPr>
            </w:pPr>
            <w:bookmarkStart w:id="0" w:name="_Hlk4502371"/>
            <w:r w:rsidRPr="007C3A0A">
              <w:rPr>
                <w:color w:val="FFFFFF" w:themeColor="background1"/>
                <w:sz w:val="21"/>
                <w:szCs w:val="21"/>
              </w:rPr>
              <w:t xml:space="preserve">Categories </w:t>
            </w:r>
          </w:p>
        </w:tc>
        <w:tc>
          <w:tcPr>
            <w:tcW w:w="7525" w:type="dxa"/>
            <w:shd w:val="clear" w:color="auto" w:fill="44546A" w:themeFill="text2"/>
          </w:tcPr>
          <w:p w:rsidR="007F0C5E" w:rsidRPr="007C3A0A" w:rsidRDefault="007F0C5E" w:rsidP="009E7DAA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C3A0A">
              <w:rPr>
                <w:color w:val="FFFFFF" w:themeColor="background1"/>
                <w:sz w:val="21"/>
                <w:szCs w:val="21"/>
              </w:rPr>
              <w:t>List of Documents</w:t>
            </w:r>
          </w:p>
        </w:tc>
      </w:tr>
      <w:tr w:rsidR="007F0C5E" w:rsidRPr="007C3A0A" w:rsidTr="007F0C5E"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Cs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Proposal </w:t>
            </w:r>
          </w:p>
        </w:tc>
        <w:tc>
          <w:tcPr>
            <w:tcW w:w="7525" w:type="dxa"/>
          </w:tcPr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>Proposal in donor format, budget</w:t>
            </w:r>
          </w:p>
        </w:tc>
      </w:tr>
      <w:tr w:rsidR="007F0C5E" w:rsidRPr="005E37B0" w:rsidTr="007F0C5E"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spacing w:val="-1"/>
                <w:sz w:val="21"/>
                <w:szCs w:val="21"/>
              </w:rPr>
              <w:t>Donor agreement(s)</w:t>
            </w:r>
            <w:r w:rsidRPr="007A5F93">
              <w:rPr>
                <w:rFonts w:ascii="Calibri Light" w:hAnsi="Calibri Light" w:cs="Calibri Light"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7525" w:type="dxa"/>
          </w:tcPr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>Contract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-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>Modification, 2016 (extra 200,000)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-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  <w:t>Donor reports</w:t>
            </w: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7525" w:type="dxa"/>
          </w:tcPr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Quarterly </w:t>
            </w: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>narrative</w:t>
            </w: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 reports 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-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>Progress in CSSF AR recommendations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>Quarterly financial reports</w:t>
            </w:r>
          </w:p>
        </w:tc>
      </w:tr>
      <w:tr w:rsidR="007F0C5E" w:rsidRPr="007C3A0A" w:rsidTr="007F0C5E"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  <w:t xml:space="preserve">Monitoring </w:t>
            </w:r>
            <w:r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  <w:t>frameworks and tools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7525" w:type="dxa"/>
          </w:tcPr>
          <w:p w:rsidR="007F0C5E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>Workpla</w:t>
            </w: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>n</w:t>
            </w: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>Year 3 (2018-2019)</w:t>
            </w:r>
          </w:p>
          <w:p w:rsidR="007F0C5E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>Workplan Year 4 (2019-2020)</w:t>
            </w:r>
          </w:p>
          <w:p w:rsidR="007F0C5E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>Events calendar – S</w:t>
            </w:r>
            <w:r w:rsidRPr="00380814">
              <w:rPr>
                <w:rFonts w:ascii="Calibri Light" w:hAnsi="Calibri Light" w:cs="Calibri Light"/>
                <w:spacing w:val="1"/>
                <w:sz w:val="21"/>
                <w:szCs w:val="21"/>
              </w:rPr>
              <w:t>ep-Nov 2018</w:t>
            </w:r>
          </w:p>
          <w:p w:rsidR="007F0C5E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595FC2">
              <w:rPr>
                <w:rFonts w:ascii="Calibri Light" w:hAnsi="Calibri Light" w:cs="Calibri Light"/>
                <w:spacing w:val="1"/>
                <w:sz w:val="21"/>
                <w:szCs w:val="21"/>
              </w:rPr>
              <w:t>Procurement Plan</w:t>
            </w: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 – 14 Sept 2018</w:t>
            </w:r>
          </w:p>
          <w:p w:rsidR="007F0C5E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1459B5">
              <w:rPr>
                <w:rFonts w:ascii="Calibri Light" w:hAnsi="Calibri Light" w:cs="Calibri Light"/>
                <w:spacing w:val="1"/>
                <w:sz w:val="21"/>
                <w:szCs w:val="21"/>
              </w:rPr>
              <w:t>Procurement Plan</w:t>
            </w: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 – </w:t>
            </w:r>
            <w:r w:rsidRPr="001459B5">
              <w:rPr>
                <w:rFonts w:ascii="Calibri Light" w:hAnsi="Calibri Light" w:cs="Calibri Light"/>
                <w:spacing w:val="1"/>
                <w:sz w:val="21"/>
                <w:szCs w:val="21"/>
              </w:rPr>
              <w:t>30 June 2019</w:t>
            </w:r>
          </w:p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AB6093">
              <w:rPr>
                <w:rFonts w:ascii="Calibri Light" w:hAnsi="Calibri Light" w:cs="Calibri Light"/>
                <w:spacing w:val="1"/>
                <w:sz w:val="21"/>
                <w:szCs w:val="21"/>
              </w:rPr>
              <w:t>Procurement Plan</w:t>
            </w: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 – </w:t>
            </w:r>
            <w:r w:rsidRPr="00AB6093">
              <w:rPr>
                <w:rFonts w:ascii="Calibri Light" w:hAnsi="Calibri Light" w:cs="Calibri Light"/>
                <w:spacing w:val="1"/>
                <w:sz w:val="21"/>
                <w:szCs w:val="21"/>
              </w:rPr>
              <w:t>Nov 2019</w:t>
            </w:r>
          </w:p>
        </w:tc>
      </w:tr>
      <w:tr w:rsidR="007F0C5E" w:rsidRPr="007C3A0A" w:rsidTr="007F0C5E"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  <w:t>Results</w:t>
            </w:r>
          </w:p>
        </w:tc>
        <w:tc>
          <w:tcPr>
            <w:tcW w:w="7525" w:type="dxa"/>
          </w:tcPr>
          <w:p w:rsidR="007F0C5E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M&amp;E </w:t>
            </w: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>Plan</w:t>
            </w:r>
          </w:p>
          <w:p w:rsidR="007F0C5E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Theory of change </w:t>
            </w:r>
          </w:p>
          <w:p w:rsidR="007F0C5E" w:rsidRPr="007A5F93" w:rsidRDefault="007F0C5E" w:rsidP="009E7DAA">
            <w:pPr>
              <w:pStyle w:val="NoSpacing"/>
              <w:ind w:left="48" w:right="-150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Results framework </w:t>
            </w:r>
          </w:p>
        </w:tc>
      </w:tr>
      <w:tr w:rsidR="007F0C5E" w:rsidRPr="007C3A0A" w:rsidTr="007F0C5E">
        <w:trPr>
          <w:trHeight w:val="58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  <w:t>Risks</w:t>
            </w: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7525" w:type="dxa"/>
          </w:tcPr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>Risk register</w:t>
            </w:r>
          </w:p>
        </w:tc>
      </w:tr>
      <w:tr w:rsidR="007F0C5E" w:rsidRPr="007C3A0A" w:rsidTr="007F0C5E"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  <w:t>Financials</w:t>
            </w:r>
          </w:p>
        </w:tc>
        <w:tc>
          <w:tcPr>
            <w:tcW w:w="7525" w:type="dxa"/>
          </w:tcPr>
          <w:p w:rsidR="007F0C5E" w:rsidRPr="007A5F93" w:rsidRDefault="007F0C5E" w:rsidP="009E7DAA">
            <w:pPr>
              <w:pStyle w:val="NoSpacing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</w:p>
        </w:tc>
      </w:tr>
      <w:tr w:rsidR="007F0C5E" w:rsidRPr="007C3A0A" w:rsidTr="007F0C5E">
        <w:tc>
          <w:tcPr>
            <w:tcW w:w="22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  <w:t>Monitoring reports</w:t>
            </w:r>
          </w:p>
        </w:tc>
        <w:tc>
          <w:tcPr>
            <w:tcW w:w="7525" w:type="dxa"/>
          </w:tcPr>
          <w:p w:rsidR="007F0C5E" w:rsidRPr="006D7FF9" w:rsidRDefault="007F0C5E" w:rsidP="009E7DAA">
            <w:pPr>
              <w:spacing w:after="40"/>
              <w:ind w:left="48"/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u w:val="single"/>
              </w:rPr>
            </w:pPr>
            <w:r w:rsidRPr="006D7FF9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u w:val="single"/>
              </w:rPr>
              <w:t>Output 1:</w:t>
            </w:r>
          </w:p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Knowledge assessment of personnel of Tajik and Afghan border checkpoints, April to July 2018.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spacing w:after="40"/>
              <w:ind w:left="48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Knowledge assessment – by Dec 19</w:t>
            </w:r>
          </w:p>
          <w:p w:rsidR="007F0C5E" w:rsidRPr="006D7FF9" w:rsidRDefault="007F0C5E" w:rsidP="009E7DAA">
            <w:pPr>
              <w:spacing w:after="40"/>
              <w:ind w:left="48" w:right="-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To cover range of topics and perspectives from border guards, trainers, students, community members.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 xml:space="preserve">Training report - Tajik-Afghan Female Border Guards Training 19 Sep 2018 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spacing w:after="40"/>
              <w:ind w:left="48" w:right="-60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List of vocational training courses in Khatlon during Jun-Nov 2018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="Calibri Light" w:hAnsi="Calibri Light" w:cs="Calibri Light"/>
                <w:b/>
                <w:bCs/>
                <w:color w:val="4472C4" w:themeColor="accent1"/>
                <w:spacing w:val="1"/>
                <w:sz w:val="21"/>
                <w:szCs w:val="21"/>
                <w:u w:val="single"/>
              </w:rPr>
            </w:pPr>
            <w:r w:rsidRPr="006D7FF9">
              <w:rPr>
                <w:rFonts w:ascii="Calibri Light" w:hAnsi="Calibri Light" w:cs="Calibri Light"/>
                <w:b/>
                <w:bCs/>
                <w:color w:val="4472C4" w:themeColor="accent1"/>
                <w:spacing w:val="1"/>
                <w:sz w:val="21"/>
                <w:szCs w:val="21"/>
                <w:u w:val="single"/>
              </w:rPr>
              <w:t>Output 2:</w:t>
            </w:r>
          </w:p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 xml:space="preserve">Grants effectiveness in </w:t>
            </w:r>
            <w:proofErr w:type="spellStart"/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Khatlon</w:t>
            </w:r>
            <w:proofErr w:type="spellEnd"/>
            <w:r w:rsidRPr="006D7FF9">
              <w:rPr>
                <w:rFonts w:asciiTheme="majorHAnsi" w:hAnsiTheme="majorHAnsi" w:cstheme="majorHAnsi"/>
                <w:sz w:val="21"/>
                <w:szCs w:val="21"/>
              </w:rPr>
              <w:t xml:space="preserve"> province, July 2019. Private sector </w:t>
            </w:r>
            <w:proofErr w:type="spellStart"/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devel</w:t>
            </w:r>
            <w:proofErr w:type="spellEnd"/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, income generation, job creation.</w:t>
            </w:r>
            <w:r w:rsidRPr="006D7FF9">
              <w:t xml:space="preserve"> </w:t>
            </w: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Includes data on other projects.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="Calibri Light" w:hAnsi="Calibri Light" w:cs="Calibri Light"/>
                <w:spacing w:val="1"/>
                <w:sz w:val="21"/>
                <w:szCs w:val="21"/>
                <w:u w:val="single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Past profitability assessment, 3-page findings, summary available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New profitability assessment – early 2020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Satisfaction rate – vocational training and recognition of prior learning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 xml:space="preserve">Increased self-worth for migrants – pre and post activity questionnaires 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FGDs grantees, trainees – Dec 18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MSC grantees – summary available, short report can be developed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MSC with RM – Feb/Mar 2020 (</w:t>
            </w:r>
            <w:proofErr w:type="spellStart"/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Khatlon</w:t>
            </w:r>
            <w:proofErr w:type="spellEnd"/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and GBAO, depending on weather)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 w:right="-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 xml:space="preserve">Success stories </w:t>
            </w:r>
            <w:r w:rsidRPr="006D7FF9">
              <w:rPr>
                <w:rFonts w:asciiTheme="majorHAnsi" w:hAnsiTheme="majorHAnsi" w:cstheme="majorHAnsi"/>
                <w:sz w:val="20"/>
                <w:szCs w:val="20"/>
              </w:rPr>
              <w:t>(2 Y3Q1, 1 Y3Q2, 3 Y3Q4)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b/>
                <w:bCs/>
                <w:color w:val="4472C4" w:themeColor="accent1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  <w:u w:val="single"/>
              </w:rPr>
              <w:t>Output 3:</w:t>
            </w:r>
          </w:p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FGDs with returned migrants – Dec 18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u w:val="single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FGDs with returned migrants – Apr 19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FGDs on RPS with facilitators – Oct 19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FGDs on RPS with participants – Oct 19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MSC in GBAO – 20 stories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MSC with RM – Feb/Mar 2020 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Satisfaction rate of migrants regarding case filing– to start by December 19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Satisfaction rate of migrants regarding RPS – to start soon, until March 2020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  <w:r w:rsidRPr="007A5F93"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  <w:t>Other project-related document</w:t>
            </w:r>
            <w:r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  <w:t>s</w:t>
            </w:r>
            <w:r w:rsidRPr="007A5F93">
              <w:rPr>
                <w:rFonts w:ascii="Calibri Light" w:hAnsi="Calibri Light" w:cs="Calibri Light"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FGD transcripts (RPS, output 3)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Dataset on information needs assessment of migrant workers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spacing w:after="40"/>
              <w:ind w:left="48" w:right="-15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NB: Other activities planned e.g. FGD and monitoring visits, but will not result in particular M&amp;E deliverables.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C3A0A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Cs/>
                <w:spacing w:val="1"/>
                <w:sz w:val="21"/>
                <w:szCs w:val="21"/>
              </w:rPr>
            </w:pPr>
            <w:r w:rsidRPr="007C3A0A"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  <w:t>Evaluation reports</w:t>
            </w:r>
            <w:r w:rsidRPr="007C3A0A">
              <w:rPr>
                <w:rFonts w:ascii="Calibri Light" w:hAnsi="Calibri Light" w:cs="Calibri Light"/>
                <w:bCs/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7525" w:type="dxa"/>
          </w:tcPr>
          <w:p w:rsidR="007F0C5E" w:rsidRPr="00C11598" w:rsidRDefault="007F0C5E" w:rsidP="009E7DAA">
            <w:pPr>
              <w:pStyle w:val="NoSpacing"/>
              <w:ind w:left="48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C11598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Mid-term Evaluation of Phase III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C3A0A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C11598" w:rsidRDefault="007F0C5E" w:rsidP="009E7DAA">
            <w:pPr>
              <w:pStyle w:val="NoSpacing"/>
              <w:ind w:left="48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C11598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DFID Annual Review</w:t>
            </w:r>
            <w:r w:rsidR="006D7FF9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s</w:t>
            </w:r>
            <w:r w:rsidRPr="00C11598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 xml:space="preserve"> </w:t>
            </w:r>
          </w:p>
          <w:p w:rsidR="007F0C5E" w:rsidRPr="00C11598" w:rsidRDefault="007F0C5E" w:rsidP="007F0C5E">
            <w:pPr>
              <w:pStyle w:val="NoSpacing"/>
              <w:numPr>
                <w:ilvl w:val="0"/>
                <w:numId w:val="4"/>
              </w:numPr>
              <w:ind w:left="306" w:hanging="180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C11598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2016-2017 summary sheet</w:t>
            </w:r>
          </w:p>
          <w:p w:rsidR="007F0C5E" w:rsidRPr="00C11598" w:rsidRDefault="007F0C5E" w:rsidP="007F0C5E">
            <w:pPr>
              <w:pStyle w:val="NoSpacing"/>
              <w:numPr>
                <w:ilvl w:val="0"/>
                <w:numId w:val="4"/>
              </w:numPr>
              <w:ind w:left="306" w:hanging="180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C11598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2017-2018 IOM project</w:t>
            </w:r>
          </w:p>
          <w:p w:rsidR="007F0C5E" w:rsidRPr="00C11598" w:rsidRDefault="007F0C5E" w:rsidP="007F0C5E">
            <w:pPr>
              <w:pStyle w:val="NoSpacing"/>
              <w:numPr>
                <w:ilvl w:val="0"/>
                <w:numId w:val="4"/>
              </w:numPr>
              <w:ind w:left="306" w:hanging="180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C11598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2017-2018 progress</w:t>
            </w:r>
          </w:p>
          <w:p w:rsidR="007F0C5E" w:rsidRPr="00C11598" w:rsidRDefault="007F0C5E" w:rsidP="007F0C5E">
            <w:pPr>
              <w:pStyle w:val="NoSpacing"/>
              <w:numPr>
                <w:ilvl w:val="0"/>
                <w:numId w:val="4"/>
              </w:numPr>
              <w:ind w:left="306" w:hanging="180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C11598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2018-2019 IOM project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C3A0A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  <w:t>Other</w:t>
            </w:r>
            <w:r w:rsidRPr="007C3A0A"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C11F18"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  <w:t>reports and assessments</w:t>
            </w:r>
          </w:p>
        </w:tc>
        <w:tc>
          <w:tcPr>
            <w:tcW w:w="7525" w:type="dxa"/>
          </w:tcPr>
          <w:p w:rsidR="007F0C5E" w:rsidRPr="006D7FF9" w:rsidRDefault="007F0C5E" w:rsidP="009E7DAA">
            <w:pPr>
              <w:spacing w:after="6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Grants effectiveness in Khatlon, July 2019. Focus: private sector devel, income generation and job creation.</w:t>
            </w:r>
            <w:r w:rsidRPr="006D7FF9">
              <w:t xml:space="preserve"> </w:t>
            </w: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Includes data on other projects.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C3A0A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spacing w:after="6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 xml:space="preserve">Afghan-Tajik Border Relations - Perspectives and analysis from the Afghan side of the border, May 2014, Centre for Security Governance. 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C3A0A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spacing w:after="60"/>
              <w:ind w:left="48"/>
              <w:rPr>
                <w:rFonts w:asciiTheme="majorHAnsi" w:hAnsiTheme="majorHAnsi" w:cstheme="majorHAnsi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 xml:space="preserve">Afghan-Tajik Border Relations - Perspectives and analysis from the Tajik side of the border, May 2014, Centre for Security Governance. 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6D7FF9" w:rsidRDefault="007F0C5E" w:rsidP="009E7DAA">
            <w:pPr>
              <w:pStyle w:val="NoSpacing"/>
              <w:ind w:left="48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6D7FF9">
              <w:rPr>
                <w:rFonts w:asciiTheme="majorHAnsi" w:hAnsiTheme="majorHAnsi" w:cstheme="majorHAnsi"/>
                <w:sz w:val="21"/>
                <w:szCs w:val="21"/>
              </w:rPr>
              <w:t>Assessment of Economic Opportunities Along the Afghan–Tajik Border. January 2016, Samuel Hall. Assessment to plan grant component.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C3A0A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pacing w:val="1"/>
                <w:sz w:val="21"/>
                <w:szCs w:val="21"/>
              </w:rPr>
              <w:t>Strategies</w:t>
            </w:r>
          </w:p>
        </w:tc>
        <w:tc>
          <w:tcPr>
            <w:tcW w:w="7525" w:type="dxa"/>
          </w:tcPr>
          <w:p w:rsidR="007F0C5E" w:rsidRPr="00BB7E71" w:rsidRDefault="007F0C5E" w:rsidP="009E7DAA">
            <w:pPr>
              <w:pStyle w:val="NoSpacing"/>
              <w:ind w:left="48"/>
              <w:rPr>
                <w:rFonts w:cstheme="minorHAnsi"/>
                <w:spacing w:val="1"/>
                <w:sz w:val="21"/>
                <w:szCs w:val="21"/>
              </w:rPr>
            </w:pPr>
            <w:r w:rsidRPr="00A802DA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IOM Crisis Response Plan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7F0C5E" w:rsidRPr="007A5F93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AB4A69" w:rsidRDefault="007F0C5E" w:rsidP="009E7DAA">
            <w:pPr>
              <w:pStyle w:val="NoSpacing"/>
              <w:ind w:left="48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1E134B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 xml:space="preserve">UNDAF </w:t>
            </w:r>
          </w:p>
        </w:tc>
      </w:tr>
      <w:tr w:rsidR="007F0C5E" w:rsidRPr="007C3A0A" w:rsidTr="007F0C5E">
        <w:tc>
          <w:tcPr>
            <w:tcW w:w="22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F0C5E" w:rsidRDefault="007F0C5E" w:rsidP="009E7DAA">
            <w:pPr>
              <w:pStyle w:val="NoSpacing"/>
              <w:ind w:right="-72"/>
              <w:rPr>
                <w:rFonts w:ascii="Calibri Light" w:hAnsi="Calibri Light" w:cs="Calibri Light"/>
                <w:spacing w:val="1"/>
                <w:sz w:val="21"/>
                <w:szCs w:val="21"/>
              </w:rPr>
            </w:pPr>
          </w:p>
        </w:tc>
        <w:tc>
          <w:tcPr>
            <w:tcW w:w="7525" w:type="dxa"/>
          </w:tcPr>
          <w:p w:rsidR="007F0C5E" w:rsidRPr="001E134B" w:rsidRDefault="007F0C5E" w:rsidP="009E7DAA">
            <w:pPr>
              <w:pStyle w:val="NoSpacing"/>
              <w:ind w:left="48"/>
              <w:rPr>
                <w:rFonts w:asciiTheme="majorHAnsi" w:hAnsiTheme="majorHAnsi" w:cstheme="majorHAnsi"/>
                <w:spacing w:val="1"/>
                <w:sz w:val="21"/>
                <w:szCs w:val="21"/>
              </w:rPr>
            </w:pPr>
            <w:r w:rsidRPr="001E134B">
              <w:rPr>
                <w:rFonts w:asciiTheme="majorHAnsi" w:hAnsiTheme="majorHAnsi" w:cstheme="majorHAnsi"/>
                <w:spacing w:val="1"/>
                <w:sz w:val="21"/>
                <w:szCs w:val="21"/>
              </w:rPr>
              <w:t>National Development Strategy</w:t>
            </w:r>
          </w:p>
        </w:tc>
      </w:tr>
      <w:bookmarkEnd w:id="0"/>
    </w:tbl>
    <w:p w:rsidR="00DC36C3" w:rsidRPr="00E726F5" w:rsidRDefault="00DC36C3" w:rsidP="00E726F5">
      <w:pPr>
        <w:rPr>
          <w:lang w:val="en-US"/>
        </w:rPr>
      </w:pPr>
    </w:p>
    <w:sectPr w:rsidR="00DC36C3" w:rsidRPr="00E726F5" w:rsidSect="000D73E9">
      <w:pgSz w:w="11906" w:h="16838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9D4" w:rsidRDefault="009319D4" w:rsidP="000D73E9">
      <w:pPr>
        <w:spacing w:after="0" w:line="240" w:lineRule="auto"/>
      </w:pPr>
      <w:r>
        <w:separator/>
      </w:r>
    </w:p>
  </w:endnote>
  <w:endnote w:type="continuationSeparator" w:id="0">
    <w:p w:rsidR="009319D4" w:rsidRDefault="009319D4" w:rsidP="000D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9D4" w:rsidRDefault="009319D4" w:rsidP="000D73E9">
      <w:pPr>
        <w:spacing w:after="0" w:line="240" w:lineRule="auto"/>
      </w:pPr>
      <w:r>
        <w:separator/>
      </w:r>
    </w:p>
  </w:footnote>
  <w:footnote w:type="continuationSeparator" w:id="0">
    <w:p w:rsidR="009319D4" w:rsidRDefault="009319D4" w:rsidP="000D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65B"/>
    <w:multiLevelType w:val="hybridMultilevel"/>
    <w:tmpl w:val="E2F2F03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ED7"/>
    <w:multiLevelType w:val="hybridMultilevel"/>
    <w:tmpl w:val="32148040"/>
    <w:lvl w:ilvl="0" w:tplc="1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0222531"/>
    <w:multiLevelType w:val="hybridMultilevel"/>
    <w:tmpl w:val="18CEFD0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08D"/>
    <w:multiLevelType w:val="hybridMultilevel"/>
    <w:tmpl w:val="CE82D0D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MDEwsjQ0NLQwN7dU0lEKTi0uzszPAykwrAUAgwYmVCwAAAA="/>
  </w:docVars>
  <w:rsids>
    <w:rsidRoot w:val="00DC36C3"/>
    <w:rsid w:val="00002F70"/>
    <w:rsid w:val="000210BE"/>
    <w:rsid w:val="00085B58"/>
    <w:rsid w:val="000D73E9"/>
    <w:rsid w:val="001F2EB2"/>
    <w:rsid w:val="002E7264"/>
    <w:rsid w:val="004B10AE"/>
    <w:rsid w:val="005900D4"/>
    <w:rsid w:val="006D7FF9"/>
    <w:rsid w:val="00756BF1"/>
    <w:rsid w:val="007773FE"/>
    <w:rsid w:val="007F0C5E"/>
    <w:rsid w:val="009319D4"/>
    <w:rsid w:val="009A49D7"/>
    <w:rsid w:val="009B6DEC"/>
    <w:rsid w:val="00B254BB"/>
    <w:rsid w:val="00C01AE6"/>
    <w:rsid w:val="00C91A99"/>
    <w:rsid w:val="00CC4017"/>
    <w:rsid w:val="00DB1218"/>
    <w:rsid w:val="00DC36C3"/>
    <w:rsid w:val="00E427D3"/>
    <w:rsid w:val="00E43D4A"/>
    <w:rsid w:val="00E50D07"/>
    <w:rsid w:val="00E726F5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ADD0D"/>
  <w15:chartTrackingRefBased/>
  <w15:docId w15:val="{10997FC6-889B-4652-9657-C83C59B9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0C5E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7F0C5E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49CD8ED26F145A799BC6E235A57E7" ma:contentTypeVersion="13" ma:contentTypeDescription="Create a new document." ma:contentTypeScope="" ma:versionID="277f764f885bf53c91a3c1b30923f158">
  <xsd:schema xmlns:xsd="http://www.w3.org/2001/XMLSchema" xmlns:xs="http://www.w3.org/2001/XMLSchema" xmlns:p="http://schemas.microsoft.com/office/2006/metadata/properties" xmlns:ns3="32414dbf-c586-4f53-bb86-b8a64e1eb8d6" xmlns:ns4="0f1c97e3-208d-4102-9060-3a24d7a0ed32" targetNamespace="http://schemas.microsoft.com/office/2006/metadata/properties" ma:root="true" ma:fieldsID="a02031213ca6500c66c757c086208dcf" ns3:_="" ns4:_="">
    <xsd:import namespace="32414dbf-c586-4f53-bb86-b8a64e1eb8d6"/>
    <xsd:import namespace="0f1c97e3-208d-4102-9060-3a24d7a0e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4dbf-c586-4f53-bb86-b8a64e1eb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97e3-208d-4102-9060-3a24d7a0e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CD588-712B-4B9D-94E2-13D4638A7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B0625-D869-4C50-BD89-7762C23A8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4DCEE-1EA4-4395-A816-0FE1E4814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A249B-8AC3-43D5-9A5E-EE98BC5E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4dbf-c586-4f53-bb86-b8a64e1eb8d6"/>
    <ds:schemaRef ds:uri="0f1c97e3-208d-4102-9060-3a24d7a0e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Sarah Lynn</dc:creator>
  <cp:keywords/>
  <dc:description/>
  <cp:lastModifiedBy>HARRIS Sarah Lynn</cp:lastModifiedBy>
  <cp:revision>1</cp:revision>
  <dcterms:created xsi:type="dcterms:W3CDTF">2021-03-08T10:04:00Z</dcterms:created>
  <dcterms:modified xsi:type="dcterms:W3CDTF">2021-03-08T10:04:00Z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0x01010061D49CD8ED26F145A799BC6E235A57E7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2020-06-19T09:01:56Z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7f2f3140-60b6-4303-bc1c-0000095105cf</vt:lpwstr>
  </property>
  <property fmtid="{D5CDD505-2E9C-101B-9397-08002B2CF9AE}" pid="9" name="MSIP_Label_2059aa38-f392-4105-be92-628035578272_ContentBits">
    <vt:lpwstr>0</vt:lpwstr>
  </property>
</Properties>
</file>